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Dead Serious</w:t>
      </w:r>
    </w:p>
    <w:p>
      <w:pPr>
        <w:pStyle w:val="Heading2"/>
      </w:pPr>
      <w:r>
        <w:t>Prologue</w:t>
      </w:r>
    </w:p>
    <w:p>
      <w:r>
        <w:t>It's been a while since I last wrote on my website. The reason is both simple and terrifying: I may be seriously ill. This is my story of uncertainty, hope, and learning to live with a question that has no answer—at least not yet.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